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Kimya ve Plastik Üretim Sektörü Vaka Analizi</w:t>
      </w:r>
    </w:p>
    <w:p>
      <w:r>
        <w:t>Bu proje kapsamında öğrencilerden, kimya ve plastik üretim sektöründe faaliyet gösteren bir şirketin sürdürülebilirlik performansını çevresel, sosyal ve yönetişim (ESG) boyutlarıyla incelemeleri beklenmektedir. Çalışma; karbon yönetimi, tehlikeli kimyasal kullanımı, geri dönüştürülmüş içerik, enerji yoğun üretim süreçleri, döngüsel ekonomi, AB regülasyonları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3.850</w:t>
        <w:br/>
        <w:t>• Üretim Tesisi: 6 fabrika</w:t>
        <w:br/>
        <w:t>• Yıllık Ciro: 1,6 milyar €</w:t>
        <w:br/>
        <w:t>• Ana Faaliyet Alanı: Endüstriyel plastik, ambalaj hammaddesi ve kimyasal üretimi</w:t>
        <w:br/>
        <w:t>• Operasyon Bölgeleri: Türkiye, Polonya ve İtalya</w:t>
        <w:br/>
        <w:t>• Hedef Pazarlar: Avrupa Birliği, Orta Doğu ve Kuzey Afrika</w:t>
        <w:br/>
        <w:t>• Tedarikçi Sayısı: 1.120</w:t>
        <w:br/>
        <w:t>• Kritik Tedarikçi Sayısı: 210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88.000 ton CO₂e</w:t>
        <w:br/>
        <w:t>• Scope 2 Emisyonları: 112.000 ton CO₂e</w:t>
        <w:br/>
        <w:t>• Scope 3 Emisyonları: 540.000 ton CO₂e</w:t>
        <w:br/>
        <w:t>• Yenilenebilir Elektrik Kullanımı: %19</w:t>
        <w:br/>
        <w:t>• Toplam Enerji Tüketimi: 980.000 MWh/yıl</w:t>
        <w:br/>
        <w:t>• Endüstriyel Atık: 26.000 ton/yıl</w:t>
        <w:br/>
        <w:t>• Geri Dönüştürülmüş Hammadde Kullanımı: %14</w:t>
        <w:br/>
        <w:t>• Su Tüketimi: 5.200.000 m³/yıl</w:t>
        <w:br/>
        <w:t>• Kadın Çalışan Oranı: %24</w:t>
        <w:br/>
        <w:t>• İş Kazası Sıklık Oranı: 5,9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ve Scope 2 emisyonlarını %55 azaltmak</w:t>
        <w:br/>
        <w:t>• Scope 3 emisyonlarını %40 azaltmak</w:t>
        <w:br/>
        <w:t>• Elektriğin %100’ünü yenilenebilir kaynaklardan sağlamak</w:t>
        <w:br/>
        <w:t>• Geri dönüştürülmüş hammadde kullanımını %50’ye çıkarmak</w:t>
        <w:br/>
        <w:t>• Endüstriyel atığı %60 azaltmak</w:t>
        <w:br/>
        <w:t>• Su tüketimini üretim başına %35 azaltmak</w:t>
        <w:br/>
        <w:t>• Kadın çalışan oranını %35’e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Döngüsel ekonomi ve geri dönüşüm uygulamaları</w:t>
        <w:br/>
        <w:t>7. AB regülasyonlarının sektöre etkileri</w:t>
        <w:br/>
        <w:t>8. Tehlikeli kimyasal ve atık yönetimi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Avrupa Birliği Yeşil Mutabakatı etkileri</w:t>
        <w:br/>
        <w:t>• CBAM (Carbon Border Adjustment Mechanism)</w:t>
        <w:br/>
        <w:t>• REACH Regülasyonu</w:t>
        <w:br/>
        <w:t>• PPWR (Packaging and Packaging Waste Regulation)</w:t>
        <w:br/>
        <w:t>• Geri dönüştürülmüş plastik kullanım zorunlulukları</w:t>
        <w:br/>
        <w:t>• Enerji yoğun üretim süreçleri</w:t>
        <w:br/>
        <w:t>• Tehlikeli kimyasal yönetimi</w:t>
        <w:br/>
        <w:t>• Su stresi ve endüstriyel su yönetimi</w:t>
        <w:br/>
        <w:t>• Döngüsel ekonomi uygulamaları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AB regülasyonlarından en az 1 örneğin şirkete etkisinin yorumlanması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Petkim</w:t>
        <w:br/>
        <w:t>• Akkim Kimya</w:t>
        <w:br/>
        <w:t>• Kordsa</w:t>
        <w:br/>
        <w:t>• SASA Polyester</w:t>
        <w:br/>
        <w:t>• Brisa</w:t>
        <w:br/>
        <w:t>• Hayat Kimya</w:t>
        <w:br/>
        <w:t>• BASF</w:t>
        <w:br/>
        <w:t>• Dow Chemical</w:t>
        <w:br/>
        <w:t>• Borealis</w:t>
        <w:br/>
        <w:t>• LyondellBasell</w:t>
        <w:br/>
        <w:t>• Covestro</w:t>
        <w:br/>
        <w:t>• SABIC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