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İnşaat ve Çimento Sektörü Vaka Analizi</w:t>
      </w:r>
    </w:p>
    <w:p>
      <w:r>
        <w:t>Bu proje kapsamında öğrencilerden, inşaat ve çimento sektöründe faaliyet gösteren bir şirketin sürdürülebilirlik performansını çevresel, sosyal ve yönetişim (ESG) boyutlarıyla incelemeleri beklenmektedir. Çalışma; karbon yoğun üretim süreçleri, enerji verimliliği, alternatif yakıt kullanımı, döngüsel ekonomi, iş sağlığı ve güvenliği, AB iklim regülasyonları ve net zero hedefleri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4.900</w:t>
        <w:br/>
        <w:t>• Üretim Tesisi: 7 çimento ve yapı malzemesi tesisi</w:t>
        <w:br/>
        <w:t>• Yıllık Ciro: 2,8 milyar €</w:t>
        <w:br/>
        <w:t>• Ana Faaliyet Alanı: Çimento, hazır beton ve yapı malzemeleri üretimi</w:t>
        <w:br/>
        <w:t>• Operasyon Bölgeleri: Türkiye, İspanya ve Romanya</w:t>
        <w:br/>
        <w:t>• Hedef Pazarlar: Avrupa Birliği, Kuzey Afrika ve Orta Doğu</w:t>
        <w:br/>
        <w:t>• Tedarikçi Sayısı: 1.380</w:t>
        <w:br/>
        <w:t>• Kritik Tedarikçi Sayısı: 240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1.450.000 ton CO₂e</w:t>
        <w:br/>
        <w:t>• Scope 2 Emisyonları: 210.000 ton CO₂e</w:t>
        <w:br/>
        <w:t>• Scope 3 Emisyonları: 680.000 ton CO₂e</w:t>
        <w:br/>
        <w:t>• Alternatif Yakıt Kullanım Oranı: %21</w:t>
        <w:br/>
        <w:t>• Yenilenebilir Elektrik Kullanımı: %18</w:t>
        <w:br/>
        <w:t>• Toplam Enerji Tüketimi: 3.200.000 MWh/yıl</w:t>
        <w:br/>
        <w:t>• Endüstriyel Atık Kullanımı: 420.000 ton/yıl</w:t>
        <w:br/>
        <w:t>• Geri Kazanılan Atık Oranı: %54</w:t>
        <w:br/>
        <w:t>• Kadın Çalışan Oranı: %16</w:t>
        <w:br/>
        <w:t>• İş Kazası Sıklık Oranı: 7,2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emisyonlarını %40 azaltmak</w:t>
        <w:br/>
        <w:t>• Scope 2 emisyonlarını %65 azaltmak</w:t>
        <w:br/>
        <w:t>• Scope 3 emisyonlarını %30 azaltmak</w:t>
        <w:br/>
        <w:t>• Alternatif yakıt kullanım oranını %60’a çıkarmak</w:t>
        <w:br/>
        <w:t>• Elektriğin %100’ünü yenilenebilir kaynaklardan sağlamak</w:t>
        <w:br/>
        <w:t>• Klinker oranını %25 azaltmak</w:t>
        <w:br/>
        <w:t>• Geri kazanılan atık oranını %90’a çıkarmak</w:t>
        <w:br/>
        <w:t>• Kadın çalışan oranını %28’e çıkarmak</w:t>
        <w:br/>
        <w:t>• Kritik tedarikçilerin %95’ini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Karbon yoğun üretim süreçlerinin analizi</w:t>
        <w:br/>
        <w:t>7. AB regülasyonlarının sektöre etkileri</w:t>
        <w:br/>
        <w:t>8. Döngüsel ekonomi ve alternatif yakıt uygulamaları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Avrupa Birliği Yeşil Mutabakatı</w:t>
        <w:br/>
        <w:t>• CBAM (Carbon Border Adjustment Mechanism)</w:t>
        <w:br/>
        <w:t>• Çimento sektöründe karbon yoğunluğu</w:t>
        <w:br/>
        <w:t>• Alternatif yakıt kullanımı</w:t>
        <w:br/>
        <w:t>• Klinker azaltımı stratejileri</w:t>
        <w:br/>
        <w:t>• Döngüsel ekonomi uygulamaları</w:t>
        <w:br/>
        <w:t>• İnşaat atığı geri kazanımı</w:t>
        <w:br/>
        <w:t>• İş sağlığı ve güvenliği uygulamaları</w:t>
        <w:br/>
        <w:t>• Düşük karbonlu yapı malzemeleri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AB regülasyonlarından en az 1 örneğin şirkete etkisinin yorumlanması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ve Dünyadan İncelenebilecek Örnek Şirketler</w:t>
      </w:r>
    </w:p>
    <w:p>
      <w:r>
        <w:t>• OYAK Çimento</w:t>
        <w:br/>
        <w:t>• Akçansa</w:t>
        <w:br/>
        <w:t>• Limak Çimento</w:t>
        <w:br/>
        <w:t>• Çimsa</w:t>
        <w:br/>
        <w:t>• Nuh Çimento</w:t>
        <w:br/>
        <w:t>• Votorantim Cimentos</w:t>
        <w:br/>
        <w:t>• Heidelberg Materials</w:t>
        <w:br/>
        <w:t>• Holcim</w:t>
        <w:br/>
        <w:t>• CEMEX</w:t>
        <w:br/>
        <w:t>• CRH</w:t>
        <w:br/>
        <w:t>• Lafarge</w:t>
        <w:br/>
        <w:t>• Titan Cement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