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Tarım ve Gıda Hammaddesi Sektörü Vaka Analizi</w:t>
      </w:r>
    </w:p>
    <w:p>
      <w:r>
        <w:t>Bu proje kapsamında öğrencilerden, tarım ve gıda hammaddesi sektöründe faaliyet gösteren bir şirketin sürdürülebilirlik performansını çevresel, sosyal ve yönetişim (ESG) boyutlarıyla incelemeleri beklenmektedir. Çalışma; iklim değişikliğinin tarıma etkileri, su yönetimi, biyolojik çeşitlilik, sürdürülebilir tedarik zinciri, çiftçi hakları, gıda güvenliği, AB tarım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5.100</w:t>
        <w:br/>
        <w:t>• Tarımsal Operasyon Alanı: 185.000 hektar</w:t>
        <w:br/>
        <w:t>• Yıllık Ciro: 1,9 milyar €</w:t>
        <w:br/>
        <w:t>• Ana Faaliyet Alanı: Tahıl, yağlı tohum ve tarımsal hammadde üretimi</w:t>
        <w:br/>
        <w:t>• Operasyon Bölgeleri: Türkiye, Ukrayna, Romanya ve Kazakistan</w:t>
        <w:br/>
        <w:t>• Hedef Pazarlar: Avrupa Birliği, Orta Doğu ve Kuzey Afrika</w:t>
        <w:br/>
        <w:t>• Tedarikçi ve Çiftçi Sayısı: 8.400</w:t>
        <w:br/>
        <w:t>• Kritik Tedarikçi Sayısı: 420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145.000 ton CO₂e</w:t>
        <w:br/>
        <w:t>• Scope 2 Emisyonları: 28.000 ton CO₂e</w:t>
        <w:br/>
        <w:t>• Scope 3 Emisyonları: 980.000 ton CO₂e</w:t>
        <w:br/>
        <w:t>• Yenilenebilir Elektrik Kullanımı: %21</w:t>
        <w:br/>
        <w:t>• Toplam Su Tüketimi: 18.500.000 m³/yıl</w:t>
        <w:br/>
        <w:t>• Kimyasal Gübre Kullanımı: 210.000 ton/yıl</w:t>
        <w:br/>
        <w:t>• Gıda Kaybı ve Atığı: 38.000 ton/yıl</w:t>
        <w:br/>
        <w:t>• Sertifikalı Sürdürülebilir Tarım Oranı: %26</w:t>
        <w:br/>
        <w:t>• Kadın Çalışan Oranı: %29</w:t>
        <w:br/>
        <w:t>• İş Kazası Sıklık Oranı: 4,8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emisyonlarını %40 azaltmak</w:t>
        <w:br/>
        <w:t>• Scope 2 emisyonlarını %70 azaltmak</w:t>
        <w:br/>
        <w:t>• Scope 3 emisyonlarını %35 azaltmak</w:t>
        <w:br/>
        <w:t>• Yenilenebilir elektrik kullanımını %100’e çıkarmak</w:t>
        <w:br/>
        <w:t>• Su tüketimini üretim başına %30 azaltmak</w:t>
        <w:br/>
        <w:t>• Kimyasal gübre kullanımını %25 azaltmak</w:t>
        <w:br/>
        <w:t>• Sertifikalı sürdürülebilir tarım oranını %80’e çıkarmak</w:t>
        <w:br/>
        <w:t>• Gıda kaybı ve atığını %50 azaltmak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Su ve biyolojik çeşitlilik yönetimi</w:t>
        <w:br/>
        <w:t>7. AB tarım regülasyonlarının etkileri</w:t>
        <w:br/>
        <w:t>8. Sürdürülebilir tarım ve çiftçi yönetimi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Avrupa Birliği Farm to Fork Stratejisi</w:t>
        <w:br/>
        <w:t>• Deforestation Regulation (EUDR)</w:t>
        <w:br/>
        <w:t>• Sürdürülebilir tarım uygulamaları</w:t>
        <w:br/>
        <w:t>• İklim değişikliğinin tarıma etkileri</w:t>
        <w:br/>
        <w:t>• Su stresi ve sulama yönetimi</w:t>
        <w:br/>
        <w:t>• Biyolojik çeşitlilik kaybı</w:t>
        <w:br/>
        <w:t>• Gıda güvenliği riskleri</w:t>
        <w:br/>
        <w:t>• Çiftçi hakları ve sosyal etkiler</w:t>
        <w:br/>
        <w:t>• Karbon ayak izi ve rejeneratif tarım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Tiryaki Agro</w:t>
        <w:br/>
        <w:t>• Ulusoy Un</w:t>
        <w:br/>
        <w:t>• Konya Şeker</w:t>
        <w:br/>
        <w:t>• Cargill Türkiye</w:t>
        <w:br/>
        <w:t>• Tat Bakliyat</w:t>
        <w:br/>
        <w:t>• Duru Bulgur</w:t>
        <w:br/>
        <w:t>• Bunge</w:t>
        <w:br/>
        <w:t>• Cargill</w:t>
        <w:br/>
        <w:t>• ADM</w:t>
        <w:br/>
        <w:t>• Louis Dreyfus Company</w:t>
        <w:br/>
        <w:t>• Olam Group</w:t>
        <w:br/>
        <w:t>• COFCO International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